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58E4" w14:textId="23647BFB" w:rsidR="008B1EE8" w:rsidRDefault="00E96920" w:rsidP="008B1EE8">
      <w:pPr>
        <w:rPr>
          <w:rFonts w:ascii="Calibri" w:hAnsi="Calibri" w:cs="Calibri"/>
          <w:sz w:val="20"/>
          <w:szCs w:val="20"/>
        </w:rPr>
      </w:pPr>
      <w:r>
        <w:rPr>
          <w:rFonts w:ascii="Calibri" w:hAnsi="Calibri" w:cs="Calibri"/>
          <w:noProof/>
          <w:sz w:val="20"/>
          <w:szCs w:val="20"/>
        </w:rPr>
        <w:drawing>
          <wp:anchor distT="0" distB="0" distL="114300" distR="114300" simplePos="0" relativeHeight="251658240" behindDoc="0" locked="0" layoutInCell="1" allowOverlap="1" wp14:anchorId="47FB898D" wp14:editId="785B3AB6">
            <wp:simplePos x="0" y="0"/>
            <wp:positionH relativeFrom="column">
              <wp:posOffset>4265295</wp:posOffset>
            </wp:positionH>
            <wp:positionV relativeFrom="paragraph">
              <wp:posOffset>201295</wp:posOffset>
            </wp:positionV>
            <wp:extent cx="1250315" cy="635635"/>
            <wp:effectExtent l="0" t="0" r="0" b="0"/>
            <wp:wrapNone/>
            <wp:docPr id="5" name="Picture 5" descr="A picture containing text, ligh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ligh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315" cy="635635"/>
                    </a:xfrm>
                    <a:prstGeom prst="rect">
                      <a:avLst/>
                    </a:prstGeom>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61312" behindDoc="0" locked="0" layoutInCell="1" allowOverlap="1" wp14:anchorId="282B9AB4" wp14:editId="078955BD">
            <wp:simplePos x="0" y="0"/>
            <wp:positionH relativeFrom="column">
              <wp:posOffset>126183</wp:posOffset>
            </wp:positionH>
            <wp:positionV relativeFrom="paragraph">
              <wp:posOffset>202147</wp:posOffset>
            </wp:positionV>
            <wp:extent cx="1366575" cy="733504"/>
            <wp:effectExtent l="0" t="0" r="5080" b="3175"/>
            <wp:wrapNone/>
            <wp:docPr id="7" name="Picture 7" descr="cmh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575" cy="733504"/>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0"/>
        </w:rPr>
        <w:drawing>
          <wp:anchor distT="0" distB="0" distL="114300" distR="114300" simplePos="0" relativeHeight="251659264" behindDoc="0" locked="0" layoutInCell="1" allowOverlap="1" wp14:anchorId="40EF32CE" wp14:editId="6F79BD8F">
            <wp:simplePos x="0" y="0"/>
            <wp:positionH relativeFrom="column">
              <wp:posOffset>1985373</wp:posOffset>
            </wp:positionH>
            <wp:positionV relativeFrom="paragraph">
              <wp:posOffset>201295</wp:posOffset>
            </wp:positionV>
            <wp:extent cx="1911761" cy="643094"/>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1761" cy="643094"/>
                    </a:xfrm>
                    <a:prstGeom prst="rect">
                      <a:avLst/>
                    </a:prstGeom>
                  </pic:spPr>
                </pic:pic>
              </a:graphicData>
            </a:graphic>
            <wp14:sizeRelH relativeFrom="page">
              <wp14:pctWidth>0</wp14:pctWidth>
            </wp14:sizeRelH>
            <wp14:sizeRelV relativeFrom="page">
              <wp14:pctHeight>0</wp14:pctHeight>
            </wp14:sizeRelV>
          </wp:anchor>
        </w:drawing>
      </w:r>
    </w:p>
    <w:p w14:paraId="37F5430F" w14:textId="6FB019D6" w:rsidR="00E96920" w:rsidRDefault="00E96920" w:rsidP="008B1EE8">
      <w:pPr>
        <w:rPr>
          <w:rFonts w:ascii="Calibri" w:hAnsi="Calibri" w:cs="Calibri"/>
          <w:sz w:val="20"/>
          <w:szCs w:val="20"/>
        </w:rPr>
      </w:pPr>
    </w:p>
    <w:p w14:paraId="2B7262A5" w14:textId="6E43FBC3" w:rsidR="00E96920" w:rsidRDefault="00E96920" w:rsidP="008B1EE8">
      <w:pPr>
        <w:rPr>
          <w:rFonts w:ascii="Calibri" w:hAnsi="Calibri" w:cs="Calibri"/>
          <w:sz w:val="20"/>
          <w:szCs w:val="20"/>
        </w:rPr>
      </w:pPr>
    </w:p>
    <w:p w14:paraId="3528CD3B" w14:textId="72EA578F" w:rsidR="00E96920" w:rsidRDefault="00E96920" w:rsidP="008B1EE8">
      <w:pPr>
        <w:rPr>
          <w:rFonts w:ascii="Calibri" w:hAnsi="Calibri" w:cs="Calibri"/>
          <w:sz w:val="20"/>
          <w:szCs w:val="20"/>
        </w:rPr>
      </w:pPr>
    </w:p>
    <w:p w14:paraId="66344A23" w14:textId="77777777" w:rsidR="00E96920" w:rsidRPr="00E96920" w:rsidRDefault="00E96920" w:rsidP="008B1EE8">
      <w:pPr>
        <w:rPr>
          <w:rFonts w:ascii="Calibri" w:hAnsi="Calibri" w:cs="Calibri"/>
          <w:b/>
          <w:bCs/>
          <w:sz w:val="20"/>
          <w:szCs w:val="20"/>
        </w:rPr>
      </w:pPr>
      <w:r w:rsidRPr="00E96920">
        <w:rPr>
          <w:rFonts w:ascii="Calibri" w:hAnsi="Calibri" w:cs="Calibri"/>
          <w:b/>
          <w:bCs/>
          <w:sz w:val="20"/>
          <w:szCs w:val="20"/>
        </w:rPr>
        <w:t>Titulo:</w:t>
      </w:r>
    </w:p>
    <w:p w14:paraId="623B3A37" w14:textId="616120CD" w:rsidR="008B1EE8" w:rsidRPr="00E96920" w:rsidRDefault="00E96920" w:rsidP="008B1EE8">
      <w:pPr>
        <w:rPr>
          <w:rFonts w:ascii="Calibri" w:hAnsi="Calibri" w:cs="Calibri"/>
          <w:sz w:val="20"/>
          <w:szCs w:val="20"/>
        </w:rPr>
      </w:pPr>
      <w:r w:rsidRPr="00E96920">
        <w:rPr>
          <w:rFonts w:ascii="Calibri" w:hAnsi="Calibri" w:cs="Calibri"/>
          <w:sz w:val="20"/>
          <w:szCs w:val="20"/>
        </w:rPr>
        <w:t xml:space="preserve"> </w:t>
      </w:r>
      <w:r w:rsidR="008B1EE8" w:rsidRPr="00E96920">
        <w:rPr>
          <w:rFonts w:ascii="Calibri" w:hAnsi="Calibri" w:cs="Calibri"/>
          <w:sz w:val="20"/>
          <w:szCs w:val="20"/>
        </w:rPr>
        <w:t>Nueva Alianza para la Gestión de Tecnologías de la Salud en México</w:t>
      </w:r>
    </w:p>
    <w:p w14:paraId="5715260A" w14:textId="77777777" w:rsidR="00E96920" w:rsidRDefault="008B1EE8" w:rsidP="008B1EE8">
      <w:pPr>
        <w:rPr>
          <w:rFonts w:ascii="Calibri" w:hAnsi="Calibri" w:cs="Calibri"/>
          <w:sz w:val="20"/>
          <w:szCs w:val="20"/>
        </w:rPr>
      </w:pPr>
      <w:r w:rsidRPr="00E96920">
        <w:rPr>
          <w:rFonts w:ascii="Calibri" w:hAnsi="Calibri" w:cs="Calibri"/>
          <w:b/>
          <w:bCs/>
          <w:sz w:val="20"/>
          <w:szCs w:val="20"/>
        </w:rPr>
        <w:t>Fecha:</w:t>
      </w:r>
      <w:r>
        <w:rPr>
          <w:rFonts w:ascii="Calibri" w:hAnsi="Calibri" w:cs="Calibri"/>
          <w:sz w:val="20"/>
          <w:szCs w:val="20"/>
        </w:rPr>
        <w:t xml:space="preserve"> </w:t>
      </w:r>
    </w:p>
    <w:p w14:paraId="6E9C3FDE" w14:textId="5ED2C67A" w:rsidR="008B1EE8" w:rsidRPr="00DF1B05" w:rsidRDefault="008B1EE8" w:rsidP="008B1EE8">
      <w:pPr>
        <w:rPr>
          <w:rFonts w:ascii="Calibri" w:hAnsi="Calibri" w:cs="Calibri"/>
          <w:sz w:val="20"/>
          <w:szCs w:val="20"/>
        </w:rPr>
      </w:pPr>
      <w:r>
        <w:rPr>
          <w:rFonts w:ascii="Calibri" w:hAnsi="Calibri" w:cs="Calibri"/>
          <w:sz w:val="20"/>
          <w:szCs w:val="20"/>
        </w:rPr>
        <w:t>6 de Diciembre, 2022</w:t>
      </w:r>
    </w:p>
    <w:p w14:paraId="7F7FA466" w14:textId="77777777" w:rsidR="00E96920" w:rsidRPr="00E96920" w:rsidRDefault="00E96920" w:rsidP="008B1EE8">
      <w:pPr>
        <w:shd w:val="clear" w:color="auto" w:fill="FFFFFF"/>
        <w:spacing w:after="0" w:line="240" w:lineRule="auto"/>
        <w:jc w:val="both"/>
        <w:rPr>
          <w:rFonts w:ascii="Calibri" w:eastAsia="Times New Roman" w:hAnsi="Calibri" w:cs="Calibri"/>
          <w:b/>
          <w:bCs/>
          <w:color w:val="444444"/>
          <w:sz w:val="20"/>
          <w:szCs w:val="20"/>
        </w:rPr>
      </w:pPr>
      <w:r w:rsidRPr="00E96920">
        <w:rPr>
          <w:rFonts w:ascii="Calibri" w:eastAsia="Times New Roman" w:hAnsi="Calibri" w:cs="Calibri"/>
          <w:b/>
          <w:bCs/>
          <w:color w:val="444444"/>
          <w:sz w:val="20"/>
          <w:szCs w:val="20"/>
        </w:rPr>
        <w:t xml:space="preserve">Nota: </w:t>
      </w:r>
    </w:p>
    <w:p w14:paraId="1535313E" w14:textId="2A57A5C8" w:rsidR="008B1EE8" w:rsidRPr="00DF1B05" w:rsidRDefault="008B1EE8" w:rsidP="008B1EE8">
      <w:pPr>
        <w:shd w:val="clear" w:color="auto" w:fill="FFFFFF"/>
        <w:spacing w:after="0" w:line="240" w:lineRule="auto"/>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Un acuerdo oficial ha sido firmado entre el</w:t>
      </w:r>
      <w:hyperlink r:id="rId11" w:history="1">
        <w:r w:rsidRPr="00DF1B05">
          <w:rPr>
            <w:rFonts w:ascii="Calibri" w:eastAsia="Times New Roman" w:hAnsi="Calibri" w:cs="Calibri"/>
            <w:color w:val="EE8522"/>
            <w:sz w:val="20"/>
            <w:szCs w:val="20"/>
            <w:u w:val="single"/>
          </w:rPr>
          <w:t> </w:t>
        </w:r>
        <w:r w:rsidRPr="00DF1B05">
          <w:rPr>
            <w:rFonts w:ascii="Calibri" w:eastAsia="Times New Roman" w:hAnsi="Calibri" w:cs="Calibri"/>
            <w:color w:val="1155CC"/>
            <w:sz w:val="20"/>
            <w:szCs w:val="20"/>
            <w:u w:val="single"/>
          </w:rPr>
          <w:t>Consorcio Mexicano de Hospitales (CMH)</w:t>
        </w:r>
      </w:hyperlink>
      <w:r w:rsidRPr="00DF1B05">
        <w:rPr>
          <w:rFonts w:ascii="Calibri" w:eastAsia="Times New Roman" w:hAnsi="Calibri" w:cs="Calibri"/>
          <w:color w:val="444444"/>
          <w:sz w:val="20"/>
          <w:szCs w:val="20"/>
        </w:rPr>
        <w:t>,</w:t>
      </w:r>
      <w:hyperlink r:id="rId12" w:history="1">
        <w:r w:rsidRPr="00DF1B05">
          <w:rPr>
            <w:rFonts w:ascii="Calibri" w:eastAsia="Times New Roman" w:hAnsi="Calibri" w:cs="Calibri"/>
            <w:color w:val="EE8522"/>
            <w:sz w:val="20"/>
            <w:szCs w:val="20"/>
            <w:u w:val="single"/>
          </w:rPr>
          <w:t> </w:t>
        </w:r>
        <w:r>
          <w:rPr>
            <w:rFonts w:ascii="Calibri" w:eastAsia="Times New Roman" w:hAnsi="Calibri" w:cs="Calibri"/>
            <w:color w:val="EE8522"/>
            <w:sz w:val="20"/>
            <w:szCs w:val="20"/>
            <w:u w:val="single"/>
          </w:rPr>
          <w:t>Tecnología en Ingeniería Clínica (</w:t>
        </w:r>
        <w:r w:rsidRPr="00DF1B05">
          <w:rPr>
            <w:rFonts w:ascii="Calibri" w:eastAsia="Times New Roman" w:hAnsi="Calibri" w:cs="Calibri"/>
            <w:color w:val="1155CC"/>
            <w:sz w:val="20"/>
            <w:szCs w:val="20"/>
            <w:u w:val="single"/>
          </w:rPr>
          <w:t>TINC</w:t>
        </w:r>
      </w:hyperlink>
      <w:r>
        <w:rPr>
          <w:rFonts w:ascii="Calibri" w:eastAsia="Times New Roman" w:hAnsi="Calibri" w:cs="Calibri"/>
          <w:color w:val="444444"/>
          <w:sz w:val="20"/>
          <w:szCs w:val="20"/>
        </w:rPr>
        <w:t>)</w:t>
      </w:r>
      <w:r w:rsidRPr="00DF1B05">
        <w:rPr>
          <w:rFonts w:ascii="Calibri" w:eastAsia="Times New Roman" w:hAnsi="Calibri" w:cs="Calibri"/>
          <w:color w:val="444444"/>
          <w:sz w:val="20"/>
          <w:szCs w:val="20"/>
        </w:rPr>
        <w:t> y la</w:t>
      </w:r>
      <w:hyperlink r:id="rId13" w:history="1">
        <w:r w:rsidRPr="00DF1B05">
          <w:rPr>
            <w:rFonts w:ascii="Calibri" w:eastAsia="Times New Roman" w:hAnsi="Calibri" w:cs="Calibri"/>
            <w:color w:val="EE8522"/>
            <w:sz w:val="20"/>
            <w:szCs w:val="20"/>
            <w:u w:val="single"/>
          </w:rPr>
          <w:t> </w:t>
        </w:r>
        <w:r w:rsidRPr="00DF1B05">
          <w:rPr>
            <w:rFonts w:ascii="Calibri" w:eastAsia="Times New Roman" w:hAnsi="Calibri" w:cs="Calibri"/>
            <w:color w:val="1155CC"/>
            <w:sz w:val="20"/>
            <w:szCs w:val="20"/>
            <w:u w:val="single"/>
          </w:rPr>
          <w:t>Association for the Advancement of Medical Instrumentation (AAMI)</w:t>
        </w:r>
      </w:hyperlink>
      <w:r w:rsidRPr="00DF1B05">
        <w:rPr>
          <w:rFonts w:ascii="Calibri" w:eastAsia="Times New Roman" w:hAnsi="Calibri" w:cs="Calibri"/>
          <w:color w:val="444444"/>
          <w:sz w:val="20"/>
          <w:szCs w:val="20"/>
        </w:rPr>
        <w:t>, creando una </w:t>
      </w:r>
      <w:r w:rsidRPr="00DF1B05">
        <w:rPr>
          <w:rFonts w:ascii="Calibri" w:eastAsia="Times New Roman" w:hAnsi="Calibri" w:cs="Calibri"/>
          <w:b/>
          <w:bCs/>
          <w:color w:val="444444"/>
          <w:sz w:val="20"/>
          <w:szCs w:val="20"/>
        </w:rPr>
        <w:t>Nueva Alianza para la Gestión de Tecnologías de la Salud en México</w:t>
      </w:r>
      <w:r w:rsidRPr="00DF1B05">
        <w:rPr>
          <w:rFonts w:ascii="Calibri" w:eastAsia="Times New Roman" w:hAnsi="Calibri" w:cs="Calibri"/>
          <w:color w:val="444444"/>
          <w:sz w:val="20"/>
          <w:szCs w:val="20"/>
        </w:rPr>
        <w:t>.</w:t>
      </w:r>
    </w:p>
    <w:p w14:paraId="34AEC229" w14:textId="77777777" w:rsidR="008B1EE8" w:rsidRDefault="008B1EE8" w:rsidP="008B1EE8">
      <w:pPr>
        <w:shd w:val="clear" w:color="auto" w:fill="FFFFFF"/>
        <w:spacing w:before="300" w:after="0" w:line="240" w:lineRule="auto"/>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w:t>
      </w:r>
      <w:r w:rsidRPr="00DF1B05">
        <w:rPr>
          <w:rFonts w:ascii="Calibri" w:eastAsia="Times New Roman" w:hAnsi="Calibri" w:cs="Calibri"/>
          <w:i/>
          <w:iCs/>
          <w:color w:val="444444"/>
          <w:sz w:val="20"/>
          <w:szCs w:val="20"/>
        </w:rPr>
        <w:t xml:space="preserve">Los equipos médicos son, en conjunto con el personal y los procesos, los tres grandes pilares del sector hospitalario. El acuerdo celebrado con TINC y AAMI nos ayudará a desarrollar modelos para la gestión de la tecnología médica que nos permitirá brindar una atención más segura y efectiva en </w:t>
      </w:r>
      <w:r>
        <w:rPr>
          <w:rFonts w:ascii="Calibri" w:eastAsia="Times New Roman" w:hAnsi="Calibri" w:cs="Calibri"/>
          <w:i/>
          <w:iCs/>
          <w:color w:val="444444"/>
          <w:sz w:val="20"/>
          <w:szCs w:val="20"/>
        </w:rPr>
        <w:t>beneficio de nuestros pacientes</w:t>
      </w:r>
      <w:r>
        <w:rPr>
          <w:rFonts w:ascii="Calibri" w:eastAsia="Times New Roman" w:hAnsi="Calibri" w:cs="Calibri"/>
          <w:color w:val="444444"/>
          <w:sz w:val="20"/>
          <w:szCs w:val="20"/>
        </w:rPr>
        <w:t>” dice</w:t>
      </w:r>
      <w:hyperlink r:id="rId14" w:history="1">
        <w:r w:rsidRPr="00DF1B05">
          <w:rPr>
            <w:rFonts w:ascii="Calibri" w:eastAsia="Times New Roman" w:hAnsi="Calibri" w:cs="Calibri"/>
            <w:color w:val="EE8522"/>
            <w:sz w:val="20"/>
            <w:szCs w:val="20"/>
            <w:u w:val="single"/>
          </w:rPr>
          <w:t> </w:t>
        </w:r>
        <w:r w:rsidRPr="00DF1B05">
          <w:rPr>
            <w:rFonts w:ascii="Calibri" w:eastAsia="Times New Roman" w:hAnsi="Calibri" w:cs="Calibri"/>
            <w:color w:val="1155CC"/>
            <w:sz w:val="20"/>
            <w:szCs w:val="20"/>
            <w:u w:val="single"/>
          </w:rPr>
          <w:t>Javier Potes</w:t>
        </w:r>
      </w:hyperlink>
      <w:r w:rsidRPr="00DF1B05">
        <w:rPr>
          <w:rFonts w:ascii="Calibri" w:eastAsia="Times New Roman" w:hAnsi="Calibri" w:cs="Calibri"/>
          <w:color w:val="444444"/>
          <w:sz w:val="20"/>
          <w:szCs w:val="20"/>
        </w:rPr>
        <w:t>,</w:t>
      </w:r>
      <w:r>
        <w:rPr>
          <w:rFonts w:ascii="Calibri" w:eastAsia="Times New Roman" w:hAnsi="Calibri" w:cs="Calibri"/>
          <w:color w:val="444444"/>
          <w:sz w:val="20"/>
          <w:szCs w:val="20"/>
        </w:rPr>
        <w:t xml:space="preserve"> nuestro</w:t>
      </w:r>
      <w:r w:rsidRPr="00DF1B05">
        <w:rPr>
          <w:rFonts w:ascii="Calibri" w:eastAsia="Times New Roman" w:hAnsi="Calibri" w:cs="Calibri"/>
          <w:color w:val="444444"/>
          <w:sz w:val="20"/>
          <w:szCs w:val="20"/>
        </w:rPr>
        <w:t xml:space="preserve"> </w:t>
      </w:r>
      <w:r>
        <w:rPr>
          <w:rFonts w:ascii="Calibri" w:eastAsia="Times New Roman" w:hAnsi="Calibri" w:cs="Calibri"/>
          <w:color w:val="444444"/>
          <w:sz w:val="20"/>
          <w:szCs w:val="20"/>
        </w:rPr>
        <w:t>d</w:t>
      </w:r>
      <w:r w:rsidRPr="00DF1B05">
        <w:rPr>
          <w:rFonts w:ascii="Calibri" w:eastAsia="Times New Roman" w:hAnsi="Calibri" w:cs="Calibri"/>
          <w:color w:val="444444"/>
          <w:sz w:val="20"/>
          <w:szCs w:val="20"/>
        </w:rPr>
        <w:t xml:space="preserve">irector </w:t>
      </w:r>
      <w:r>
        <w:rPr>
          <w:rFonts w:ascii="Calibri" w:eastAsia="Times New Roman" w:hAnsi="Calibri" w:cs="Calibri"/>
          <w:color w:val="444444"/>
          <w:sz w:val="20"/>
          <w:szCs w:val="20"/>
        </w:rPr>
        <w:t>g</w:t>
      </w:r>
      <w:r w:rsidRPr="00DF1B05">
        <w:rPr>
          <w:rFonts w:ascii="Calibri" w:eastAsia="Times New Roman" w:hAnsi="Calibri" w:cs="Calibri"/>
          <w:color w:val="444444"/>
          <w:sz w:val="20"/>
          <w:szCs w:val="20"/>
        </w:rPr>
        <w:t>eneral</w:t>
      </w:r>
      <w:r>
        <w:rPr>
          <w:rFonts w:ascii="Calibri" w:eastAsia="Times New Roman" w:hAnsi="Calibri" w:cs="Calibri"/>
          <w:color w:val="444444"/>
          <w:sz w:val="20"/>
          <w:szCs w:val="20"/>
        </w:rPr>
        <w:t>.</w:t>
      </w:r>
    </w:p>
    <w:p w14:paraId="2F5B5FEF" w14:textId="77777777" w:rsidR="008B1EE8" w:rsidRPr="00DF1B05" w:rsidRDefault="008B1EE8" w:rsidP="008B1EE8">
      <w:pPr>
        <w:shd w:val="clear" w:color="auto" w:fill="FFFFFF"/>
        <w:spacing w:before="300" w:after="0" w:line="240" w:lineRule="auto"/>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El objetivo principal de la alianza es el desarrollo de </w:t>
      </w:r>
      <w:r w:rsidRPr="00DF1B05">
        <w:rPr>
          <w:rFonts w:ascii="Calibri" w:eastAsia="Times New Roman" w:hAnsi="Calibri" w:cs="Calibri"/>
          <w:b/>
          <w:bCs/>
          <w:color w:val="444444"/>
          <w:sz w:val="20"/>
          <w:szCs w:val="20"/>
        </w:rPr>
        <w:t>seis proyectos</w:t>
      </w:r>
      <w:r w:rsidRPr="00DF1B05">
        <w:rPr>
          <w:rFonts w:ascii="Calibri" w:eastAsia="Times New Roman" w:hAnsi="Calibri" w:cs="Calibri"/>
          <w:color w:val="444444"/>
          <w:sz w:val="20"/>
          <w:szCs w:val="20"/>
        </w:rPr>
        <w:t> relacionados a la </w:t>
      </w:r>
      <w:r w:rsidRPr="00DF1B05">
        <w:rPr>
          <w:rFonts w:ascii="Calibri" w:eastAsia="Times New Roman" w:hAnsi="Calibri" w:cs="Calibri"/>
          <w:b/>
          <w:bCs/>
          <w:color w:val="444444"/>
          <w:sz w:val="20"/>
          <w:szCs w:val="20"/>
        </w:rPr>
        <w:t>Ingeniería Biomédica</w:t>
      </w:r>
      <w:r w:rsidRPr="00DF1B05">
        <w:rPr>
          <w:rFonts w:ascii="Calibri" w:eastAsia="Times New Roman" w:hAnsi="Calibri" w:cs="Calibri"/>
          <w:color w:val="444444"/>
          <w:sz w:val="20"/>
          <w:szCs w:val="20"/>
        </w:rPr>
        <w:t> (o mejor conocida como Ingeniería Clínica en otros países de Latinoamerica o </w:t>
      </w:r>
      <w:r w:rsidRPr="00DF1B05">
        <w:rPr>
          <w:rFonts w:ascii="Calibri" w:eastAsia="Times New Roman" w:hAnsi="Calibri" w:cs="Calibri"/>
          <w:i/>
          <w:iCs/>
          <w:color w:val="444444"/>
          <w:sz w:val="20"/>
          <w:szCs w:val="20"/>
        </w:rPr>
        <w:t>Healthcare Technology Management</w:t>
      </w:r>
      <w:r w:rsidRPr="00DF1B05">
        <w:rPr>
          <w:rFonts w:ascii="Calibri" w:eastAsia="Times New Roman" w:hAnsi="Calibri" w:cs="Calibri"/>
          <w:color w:val="444444"/>
          <w:sz w:val="20"/>
          <w:szCs w:val="20"/>
        </w:rPr>
        <w:t> en E.E.U.U.) en 2023, mismos que serán implementados en los 52 hospitales afiliados al CMH:</w:t>
      </w:r>
    </w:p>
    <w:p w14:paraId="5F7C20C6" w14:textId="77777777" w:rsidR="008B1EE8" w:rsidRPr="00DF1B05" w:rsidRDefault="008B1EE8" w:rsidP="008B1EE8">
      <w:pPr>
        <w:numPr>
          <w:ilvl w:val="0"/>
          <w:numId w:val="11"/>
        </w:numPr>
        <w:shd w:val="clear" w:color="auto" w:fill="FFFFFF"/>
        <w:spacing w:before="100" w:beforeAutospacing="1" w:after="100" w:afterAutospacing="1" w:line="240" w:lineRule="auto"/>
        <w:ind w:left="0"/>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Estandarización de las nomenclaturas y códigos de identificación de activos hospitalarios</w:t>
      </w:r>
    </w:p>
    <w:p w14:paraId="38023AAD" w14:textId="77777777" w:rsidR="008B1EE8" w:rsidRPr="00DF1B05" w:rsidRDefault="008B1EE8" w:rsidP="008B1EE8">
      <w:pPr>
        <w:numPr>
          <w:ilvl w:val="0"/>
          <w:numId w:val="11"/>
        </w:numPr>
        <w:shd w:val="clear" w:color="auto" w:fill="FFFFFF"/>
        <w:spacing w:before="100" w:beforeAutospacing="1" w:after="100" w:afterAutospacing="1" w:line="240" w:lineRule="auto"/>
        <w:ind w:left="0"/>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Desarrollo de un compendio de conocimientos y práctica para la Ing. Biomédica</w:t>
      </w:r>
    </w:p>
    <w:p w14:paraId="4891C428" w14:textId="77777777" w:rsidR="008B1EE8" w:rsidRPr="00DF1B05" w:rsidRDefault="008B1EE8" w:rsidP="008B1EE8">
      <w:pPr>
        <w:numPr>
          <w:ilvl w:val="0"/>
          <w:numId w:val="11"/>
        </w:numPr>
        <w:shd w:val="clear" w:color="auto" w:fill="FFFFFF"/>
        <w:spacing w:before="100" w:beforeAutospacing="1" w:after="100" w:afterAutospacing="1" w:line="240" w:lineRule="auto"/>
        <w:ind w:left="0"/>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Desarrollo de la Guía para la Clasificación de Departamentos de Ing. Biomédica (</w:t>
      </w:r>
      <w:r w:rsidRPr="00DF1B05">
        <w:rPr>
          <w:rFonts w:ascii="Calibri" w:eastAsia="Times New Roman" w:hAnsi="Calibri" w:cs="Calibri"/>
          <w:i/>
          <w:color w:val="444444"/>
          <w:sz w:val="20"/>
          <w:szCs w:val="20"/>
        </w:rPr>
        <w:t>HTM Levels Guide</w:t>
      </w:r>
      <w:r w:rsidRPr="00DF1B05">
        <w:rPr>
          <w:rFonts w:ascii="Calibri" w:eastAsia="Times New Roman" w:hAnsi="Calibri" w:cs="Calibri"/>
          <w:color w:val="444444"/>
          <w:sz w:val="20"/>
          <w:szCs w:val="20"/>
        </w:rPr>
        <w:t>)</w:t>
      </w:r>
    </w:p>
    <w:p w14:paraId="1B1F0D0C" w14:textId="77777777" w:rsidR="008B1EE8" w:rsidRPr="00DF1B05" w:rsidRDefault="008B1EE8" w:rsidP="008B1EE8">
      <w:pPr>
        <w:numPr>
          <w:ilvl w:val="0"/>
          <w:numId w:val="11"/>
        </w:numPr>
        <w:shd w:val="clear" w:color="auto" w:fill="FFFFFF"/>
        <w:spacing w:before="100" w:beforeAutospacing="1" w:after="100" w:afterAutospacing="1" w:line="240" w:lineRule="auto"/>
        <w:ind w:left="0"/>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Desarrollo e implementación del programa de capacitación para la incursión en el modelo de clasificación de Ing. Biomédica</w:t>
      </w:r>
    </w:p>
    <w:p w14:paraId="11444906" w14:textId="77777777" w:rsidR="008B1EE8" w:rsidRPr="00DF1B05" w:rsidRDefault="008B1EE8" w:rsidP="008B1EE8">
      <w:pPr>
        <w:numPr>
          <w:ilvl w:val="0"/>
          <w:numId w:val="11"/>
        </w:numPr>
        <w:shd w:val="clear" w:color="auto" w:fill="FFFFFF"/>
        <w:spacing w:before="100" w:beforeAutospacing="1" w:after="100" w:afterAutospacing="1" w:line="240" w:lineRule="auto"/>
        <w:ind w:left="0"/>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Desarrollo e implementación de la herramienta de evaluación para Departamentos de Ing. Biomédica según el modelo de clasificación </w:t>
      </w:r>
    </w:p>
    <w:p w14:paraId="03B21F7C" w14:textId="77777777" w:rsidR="008B1EE8" w:rsidRPr="00DF1B05" w:rsidRDefault="008B1EE8" w:rsidP="008B1EE8">
      <w:pPr>
        <w:numPr>
          <w:ilvl w:val="0"/>
          <w:numId w:val="11"/>
        </w:numPr>
        <w:shd w:val="clear" w:color="auto" w:fill="FFFFFF"/>
        <w:spacing w:before="100" w:beforeAutospacing="1" w:after="100" w:afterAutospacing="1" w:line="240" w:lineRule="auto"/>
        <w:ind w:left="0"/>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Desarrollo e implementación del modelo de competitividad CMH para Departamentos de Ing. Biomédica</w:t>
      </w:r>
    </w:p>
    <w:p w14:paraId="636E8347" w14:textId="77777777" w:rsidR="008B1EE8" w:rsidRPr="00DF1B05" w:rsidRDefault="008B1EE8" w:rsidP="008B1EE8">
      <w:pPr>
        <w:shd w:val="clear" w:color="auto" w:fill="FFFFFF"/>
        <w:spacing w:before="300" w:after="0" w:line="240" w:lineRule="auto"/>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El resultado de estos proyectos ofrecerá un marco operativo para que el CMH genere iniciativas de alto impacto relacionadas a la tecnología médica, entre las cuales se destacan la estandarización de proveedores de servicio por regiones, la compra consolidada de equipamiento médico, programas de certificación profesional para personal del Departamento de Ing. Biomédica, entre otros.</w:t>
      </w:r>
    </w:p>
    <w:p w14:paraId="21AF3394" w14:textId="77777777" w:rsidR="008B1EE8" w:rsidRPr="00DF1B05" w:rsidRDefault="008B1EE8" w:rsidP="008B1EE8">
      <w:pPr>
        <w:shd w:val="clear" w:color="auto" w:fill="FFFFFF"/>
        <w:spacing w:before="300" w:after="0" w:line="240" w:lineRule="auto"/>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w:t>
      </w:r>
      <w:r w:rsidRPr="00DF1B05">
        <w:rPr>
          <w:rFonts w:ascii="Calibri" w:eastAsia="Times New Roman" w:hAnsi="Calibri" w:cs="Calibri"/>
          <w:i/>
          <w:iCs/>
          <w:color w:val="444444"/>
          <w:sz w:val="20"/>
          <w:szCs w:val="20"/>
        </w:rPr>
        <w:t>La Ingeniería Clínica (Ingeniería Biomédica) es clave en la prestación segura y exitosa de los servicios de salud,</w:t>
      </w:r>
      <w:r w:rsidRPr="00DF1B05">
        <w:rPr>
          <w:rFonts w:ascii="Calibri" w:eastAsia="Times New Roman" w:hAnsi="Calibri" w:cs="Calibri"/>
          <w:color w:val="444444"/>
          <w:sz w:val="20"/>
          <w:szCs w:val="20"/>
        </w:rPr>
        <w:t>” comenta</w:t>
      </w:r>
      <w:hyperlink r:id="rId15" w:history="1">
        <w:r w:rsidRPr="00DF1B05">
          <w:rPr>
            <w:rFonts w:ascii="Calibri" w:eastAsia="Times New Roman" w:hAnsi="Calibri" w:cs="Calibri"/>
            <w:color w:val="EE8522"/>
            <w:sz w:val="20"/>
            <w:szCs w:val="20"/>
            <w:u w:val="single"/>
          </w:rPr>
          <w:t> </w:t>
        </w:r>
        <w:r w:rsidRPr="00DF1B05">
          <w:rPr>
            <w:rFonts w:ascii="Calibri" w:eastAsia="Times New Roman" w:hAnsi="Calibri" w:cs="Calibri"/>
            <w:color w:val="1155CC"/>
            <w:sz w:val="20"/>
            <w:szCs w:val="20"/>
            <w:u w:val="single"/>
          </w:rPr>
          <w:t>Luis E. Fernández</w:t>
        </w:r>
      </w:hyperlink>
      <w:r>
        <w:rPr>
          <w:rFonts w:ascii="Calibri" w:eastAsia="Times New Roman" w:hAnsi="Calibri" w:cs="Calibri"/>
          <w:color w:val="0E101A"/>
          <w:sz w:val="20"/>
          <w:szCs w:val="20"/>
        </w:rPr>
        <w:t>, d</w:t>
      </w:r>
      <w:r w:rsidRPr="00DF1B05">
        <w:rPr>
          <w:rFonts w:ascii="Calibri" w:eastAsia="Times New Roman" w:hAnsi="Calibri" w:cs="Calibri"/>
          <w:color w:val="0E101A"/>
          <w:sz w:val="20"/>
          <w:szCs w:val="20"/>
        </w:rPr>
        <w:t xml:space="preserve">irector </w:t>
      </w:r>
      <w:r>
        <w:rPr>
          <w:rFonts w:ascii="Calibri" w:eastAsia="Times New Roman" w:hAnsi="Calibri" w:cs="Calibri"/>
          <w:color w:val="0E101A"/>
          <w:sz w:val="20"/>
          <w:szCs w:val="20"/>
        </w:rPr>
        <w:t>g</w:t>
      </w:r>
      <w:r w:rsidRPr="00DF1B05">
        <w:rPr>
          <w:rFonts w:ascii="Calibri" w:eastAsia="Times New Roman" w:hAnsi="Calibri" w:cs="Calibri"/>
          <w:color w:val="0E101A"/>
          <w:sz w:val="20"/>
          <w:szCs w:val="20"/>
        </w:rPr>
        <w:t>eneral en TINC. “</w:t>
      </w:r>
      <w:r w:rsidRPr="00DF1B05">
        <w:rPr>
          <w:rFonts w:ascii="Calibri" w:eastAsia="Times New Roman" w:hAnsi="Calibri" w:cs="Calibri"/>
          <w:i/>
          <w:iCs/>
          <w:color w:val="0E101A"/>
          <w:sz w:val="20"/>
          <w:szCs w:val="20"/>
        </w:rPr>
        <w:t xml:space="preserve">Durante muchos años, la industria y sector salud en México han sufrido debido a la falta de lineamientos relacionados a la gestión de la tecnología médica, especialmente durante las pandemias H1N1 y COVID-19. Estamos muy emocionados de poner en acción las lecciones aprendidas en estos proyectos, cuyo resultado seguro servirá como base para otras iniciativas; </w:t>
      </w:r>
      <w:r w:rsidRPr="00DF1B05">
        <w:rPr>
          <w:rFonts w:ascii="Calibri" w:eastAsia="Times New Roman" w:hAnsi="Calibri" w:cs="Calibri"/>
          <w:i/>
          <w:iCs/>
          <w:color w:val="0E101A"/>
          <w:sz w:val="20"/>
          <w:szCs w:val="20"/>
        </w:rPr>
        <w:lastRenderedPageBreak/>
        <w:t>nuestra esperanza es que este trabajo lleve al marco rector de la Ingeniería Clínica en México. Felicitamos al CMH por su interés y disposición de mejorar, así como también agradecer a AAMI por apoyar este proyecto como mentor/experto en la materia”.</w:t>
      </w:r>
    </w:p>
    <w:p w14:paraId="306F86F6" w14:textId="7F0D0F9B" w:rsidR="008B1EE8" w:rsidRDefault="008B1EE8" w:rsidP="008B1EE8">
      <w:pPr>
        <w:shd w:val="clear" w:color="auto" w:fill="FFFFFF"/>
        <w:spacing w:before="300" w:after="0" w:line="240" w:lineRule="auto"/>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AAMI ha desarrollado múltiples recursos similares para el avance de </w:t>
      </w:r>
      <w:r w:rsidRPr="00DF1B05">
        <w:rPr>
          <w:rFonts w:ascii="Calibri" w:eastAsia="Times New Roman" w:hAnsi="Calibri" w:cs="Calibri"/>
          <w:b/>
          <w:bCs/>
          <w:color w:val="444444"/>
          <w:sz w:val="20"/>
          <w:szCs w:val="20"/>
        </w:rPr>
        <w:t>Alianza para la Gestión de Tecnologías de la Salud</w:t>
      </w:r>
      <w:r w:rsidRPr="00DF1B05">
        <w:rPr>
          <w:rFonts w:ascii="Calibri" w:eastAsia="Times New Roman" w:hAnsi="Calibri" w:cs="Calibri"/>
          <w:color w:val="444444"/>
          <w:sz w:val="20"/>
          <w:szCs w:val="20"/>
        </w:rPr>
        <w:t>, mismos que han ayudado a guiar el mejoramiento de la gestión de la tecnología médica en Estados Unidos y Canadá. A través de esta alianza, se desarrollarán nuevos recursos </w:t>
      </w:r>
      <w:r w:rsidRPr="00DF1B05">
        <w:rPr>
          <w:rFonts w:ascii="Calibri" w:eastAsia="Times New Roman" w:hAnsi="Calibri" w:cs="Calibri"/>
          <w:b/>
          <w:bCs/>
          <w:color w:val="444444"/>
          <w:sz w:val="20"/>
          <w:szCs w:val="20"/>
        </w:rPr>
        <w:t>específicamente diseñados a las necesidades de las organizaciones y compañías de la salud en México</w:t>
      </w:r>
      <w:r w:rsidRPr="00DF1B05">
        <w:rPr>
          <w:rFonts w:ascii="Calibri" w:eastAsia="Times New Roman" w:hAnsi="Calibri" w:cs="Calibri"/>
          <w:color w:val="444444"/>
          <w:sz w:val="20"/>
          <w:szCs w:val="20"/>
        </w:rPr>
        <w:t>.</w:t>
      </w:r>
    </w:p>
    <w:p w14:paraId="325A9682" w14:textId="6D3C57B7" w:rsidR="008B1EE8" w:rsidRPr="00E96920" w:rsidRDefault="008B1EE8" w:rsidP="008B1EE8">
      <w:pPr>
        <w:shd w:val="clear" w:color="auto" w:fill="FFFFFF"/>
        <w:spacing w:before="300" w:after="0" w:line="240" w:lineRule="auto"/>
        <w:jc w:val="both"/>
        <w:rPr>
          <w:rFonts w:ascii="Calibri" w:eastAsia="Times New Roman" w:hAnsi="Calibri" w:cs="Calibri"/>
          <w:i/>
          <w:iCs/>
          <w:color w:val="444444"/>
          <w:sz w:val="20"/>
          <w:szCs w:val="20"/>
        </w:rPr>
      </w:pPr>
      <w:r w:rsidRPr="00DF1B05">
        <w:rPr>
          <w:rFonts w:ascii="Calibri" w:eastAsia="Times New Roman" w:hAnsi="Calibri" w:cs="Calibri"/>
          <w:color w:val="444444"/>
          <w:sz w:val="20"/>
          <w:szCs w:val="20"/>
        </w:rPr>
        <w:t>“</w:t>
      </w:r>
      <w:r w:rsidRPr="00DF1B05">
        <w:rPr>
          <w:rFonts w:ascii="Calibri" w:eastAsia="Times New Roman" w:hAnsi="Calibri" w:cs="Calibri"/>
          <w:i/>
          <w:iCs/>
          <w:color w:val="444444"/>
          <w:sz w:val="20"/>
          <w:szCs w:val="20"/>
        </w:rPr>
        <w:t>Estamos muy emocionados en AAMI porque llevaremos el HTM Maturity Model a México</w:t>
      </w:r>
      <w:r>
        <w:rPr>
          <w:rFonts w:ascii="Calibri" w:eastAsia="Times New Roman" w:hAnsi="Calibri" w:cs="Calibri"/>
          <w:color w:val="444444"/>
          <w:sz w:val="20"/>
          <w:szCs w:val="20"/>
        </w:rPr>
        <w:t>,” menciona</w:t>
      </w:r>
      <w:hyperlink r:id="rId16" w:history="1">
        <w:r w:rsidRPr="00DF1B05">
          <w:rPr>
            <w:rFonts w:ascii="Calibri" w:eastAsia="Times New Roman" w:hAnsi="Calibri" w:cs="Calibri"/>
            <w:color w:val="EE8522"/>
            <w:sz w:val="20"/>
            <w:szCs w:val="20"/>
            <w:u w:val="single"/>
          </w:rPr>
          <w:t> </w:t>
        </w:r>
        <w:r w:rsidRPr="00DF1B05">
          <w:rPr>
            <w:rFonts w:ascii="Calibri" w:eastAsia="Times New Roman" w:hAnsi="Calibri" w:cs="Calibri"/>
            <w:color w:val="1155CC"/>
            <w:sz w:val="20"/>
            <w:szCs w:val="20"/>
            <w:u w:val="single"/>
          </w:rPr>
          <w:t>Danielle McGeary</w:t>
        </w:r>
      </w:hyperlink>
      <w:r w:rsidRPr="00DF1B05">
        <w:rPr>
          <w:rFonts w:ascii="Calibri" w:eastAsia="Times New Roman" w:hAnsi="Calibri" w:cs="Calibri"/>
          <w:color w:val="444444"/>
          <w:sz w:val="20"/>
          <w:szCs w:val="20"/>
        </w:rPr>
        <w:t>, Vicepresidente de HTM en AAMI. “</w:t>
      </w:r>
      <w:r w:rsidRPr="00DF1B05">
        <w:rPr>
          <w:rFonts w:ascii="Calibri" w:eastAsia="Times New Roman" w:hAnsi="Calibri" w:cs="Calibri"/>
          <w:i/>
          <w:iCs/>
          <w:color w:val="444444"/>
          <w:sz w:val="20"/>
          <w:szCs w:val="20"/>
        </w:rPr>
        <w:t>Con la ayuda de CMH y TINC, este proyecto creará un mecanismo para elevar y estandarizar el trabajo tan importante que realizan los Profesionales en Ingeniería Biomédica // Ingeniería Clínica a lo largo del país, lo que llevará a mejoras operativas y aumentará la seguridad del paciente vía el uso seguro y gestión adecuada de la tecnología médica que es utilizada para el bien de todos los pacientes de CMH</w:t>
      </w:r>
      <w:r w:rsidRPr="00DF1B05">
        <w:rPr>
          <w:rFonts w:ascii="Calibri" w:eastAsia="Times New Roman" w:hAnsi="Calibri" w:cs="Calibri"/>
          <w:color w:val="444444"/>
          <w:sz w:val="20"/>
          <w:szCs w:val="20"/>
        </w:rPr>
        <w:t>.”</w:t>
      </w:r>
    </w:p>
    <w:p w14:paraId="584CC85A" w14:textId="77777777" w:rsidR="008B1EE8" w:rsidRPr="00DF1B05" w:rsidRDefault="008B1EE8" w:rsidP="008B1EE8">
      <w:pPr>
        <w:shd w:val="clear" w:color="auto" w:fill="FFFFFF"/>
        <w:spacing w:before="300" w:after="0" w:line="240" w:lineRule="auto"/>
        <w:jc w:val="both"/>
        <w:rPr>
          <w:rFonts w:ascii="Calibri" w:eastAsia="Times New Roman" w:hAnsi="Calibri" w:cs="Calibri"/>
          <w:color w:val="444444"/>
          <w:sz w:val="20"/>
          <w:szCs w:val="20"/>
        </w:rPr>
      </w:pPr>
      <w:r w:rsidRPr="00DF1B05">
        <w:rPr>
          <w:rFonts w:ascii="Calibri" w:eastAsia="Times New Roman" w:hAnsi="Calibri" w:cs="Calibri"/>
          <w:b/>
          <w:bCs/>
          <w:color w:val="444444"/>
          <w:sz w:val="20"/>
          <w:szCs w:val="20"/>
        </w:rPr>
        <w:t>Acerca del CMH</w:t>
      </w:r>
    </w:p>
    <w:p w14:paraId="190CE80C" w14:textId="304ECF5B" w:rsidR="008B1EE8" w:rsidRPr="00DF1B05" w:rsidRDefault="008B1EE8" w:rsidP="008B1EE8">
      <w:pPr>
        <w:shd w:val="clear" w:color="auto" w:fill="FFFFFF"/>
        <w:spacing w:before="300" w:after="0" w:line="240" w:lineRule="auto"/>
        <w:jc w:val="both"/>
        <w:rPr>
          <w:rFonts w:ascii="Calibri" w:eastAsia="Times New Roman" w:hAnsi="Calibri" w:cs="Calibri"/>
          <w:color w:val="444444"/>
          <w:sz w:val="20"/>
          <w:szCs w:val="20"/>
        </w:rPr>
      </w:pPr>
      <w:r w:rsidRPr="00DF1B05">
        <w:rPr>
          <w:rFonts w:ascii="Calibri" w:eastAsia="Times New Roman" w:hAnsi="Calibri" w:cs="Calibri"/>
          <w:color w:val="444444"/>
          <w:sz w:val="20"/>
          <w:szCs w:val="20"/>
        </w:rPr>
        <w:t>El</w:t>
      </w:r>
      <w:hyperlink r:id="rId17" w:history="1">
        <w:r w:rsidRPr="00DF1B05">
          <w:rPr>
            <w:rFonts w:ascii="Calibri" w:eastAsia="Times New Roman" w:hAnsi="Calibri" w:cs="Calibri"/>
            <w:color w:val="EE8522"/>
            <w:sz w:val="20"/>
            <w:szCs w:val="20"/>
            <w:u w:val="single"/>
          </w:rPr>
          <w:t> </w:t>
        </w:r>
        <w:r w:rsidRPr="00DF1B05">
          <w:rPr>
            <w:rFonts w:ascii="Calibri" w:eastAsia="Times New Roman" w:hAnsi="Calibri" w:cs="Calibri"/>
            <w:color w:val="1155CC"/>
            <w:sz w:val="20"/>
            <w:szCs w:val="20"/>
            <w:u w:val="single"/>
          </w:rPr>
          <w:t>Consorcio Mexicano de Hospitales (CMH)</w:t>
        </w:r>
      </w:hyperlink>
      <w:r w:rsidRPr="00DF1B05">
        <w:rPr>
          <w:rFonts w:ascii="Calibri" w:eastAsia="Times New Roman" w:hAnsi="Calibri" w:cs="Calibri"/>
          <w:color w:val="444444"/>
          <w:sz w:val="20"/>
          <w:szCs w:val="20"/>
        </w:rPr>
        <w:t> es un grupo de 52 hospitales privados independientes ubicados alrededor de la República Mexicana, quienes forman una alianza estratégica para mejorar su competitividad, operación y desarrollo de negocios en búsqueda del aprovechamiento de las oportunidades del sector salud en la región.</w:t>
      </w:r>
    </w:p>
    <w:p w14:paraId="1F2EC417" w14:textId="77777777" w:rsidR="008B1EE8" w:rsidRPr="00DF1B05" w:rsidRDefault="008B1EE8" w:rsidP="008B1EE8">
      <w:pPr>
        <w:shd w:val="clear" w:color="auto" w:fill="FFFFFF"/>
        <w:spacing w:before="300" w:after="0" w:line="240" w:lineRule="auto"/>
        <w:jc w:val="both"/>
        <w:rPr>
          <w:rFonts w:ascii="Calibri" w:eastAsia="Times New Roman" w:hAnsi="Calibri" w:cs="Calibri"/>
          <w:color w:val="444444"/>
          <w:sz w:val="20"/>
          <w:szCs w:val="20"/>
        </w:rPr>
      </w:pPr>
      <w:r w:rsidRPr="00DF1B05">
        <w:rPr>
          <w:rFonts w:ascii="Calibri" w:eastAsia="Times New Roman" w:hAnsi="Calibri" w:cs="Calibri"/>
          <w:b/>
          <w:bCs/>
          <w:color w:val="444444"/>
          <w:sz w:val="20"/>
          <w:szCs w:val="20"/>
        </w:rPr>
        <w:t>Acerca de AAMI</w:t>
      </w:r>
    </w:p>
    <w:p w14:paraId="1801C35E" w14:textId="706576AA" w:rsidR="008B1EE8" w:rsidRPr="00DF1B05" w:rsidRDefault="008B1EE8" w:rsidP="008B1EE8">
      <w:pPr>
        <w:shd w:val="clear" w:color="auto" w:fill="FFFFFF"/>
        <w:spacing w:before="300" w:after="0" w:line="240" w:lineRule="auto"/>
        <w:jc w:val="both"/>
        <w:rPr>
          <w:rFonts w:ascii="Calibri" w:eastAsia="Times New Roman" w:hAnsi="Calibri" w:cs="Calibri"/>
          <w:color w:val="444444"/>
          <w:sz w:val="20"/>
          <w:szCs w:val="20"/>
        </w:rPr>
      </w:pPr>
      <w:hyperlink r:id="rId18" w:history="1">
        <w:r w:rsidRPr="00DF1B05">
          <w:rPr>
            <w:rFonts w:ascii="Calibri" w:eastAsia="Times New Roman" w:hAnsi="Calibri" w:cs="Calibri"/>
            <w:color w:val="EE8522"/>
            <w:sz w:val="20"/>
            <w:szCs w:val="20"/>
            <w:u w:val="single"/>
          </w:rPr>
          <w:t>AAMI</w:t>
        </w:r>
      </w:hyperlink>
      <w:r w:rsidRPr="00DF1B05">
        <w:rPr>
          <w:rFonts w:ascii="Calibri" w:eastAsia="Times New Roman" w:hAnsi="Calibri" w:cs="Calibri"/>
          <w:color w:val="444444"/>
          <w:sz w:val="20"/>
          <w:szCs w:val="20"/>
        </w:rPr>
        <w:t> es una organización sin fines de lucro fundada en 1967. Es una comunidad diversa de más de 10,000 Profesionales de la tecnología de la salud unidos por una importante misión; apoyar a la comunidad de la salud en el desarrollo, gestión y uso efectivo/seguro de la tecnología médica. AAMI es la fuente principal de estándares nacionales e internacionales para la industria de los dispositivos médicos, así como también de información práctica, de soporte y de guía para los Profesionales en Ingeniería Clínica y Esterilización.</w:t>
      </w:r>
    </w:p>
    <w:p w14:paraId="16B0A8A5" w14:textId="77777777" w:rsidR="008B1EE8" w:rsidRPr="00DF1B05" w:rsidRDefault="008B1EE8" w:rsidP="008B1EE8">
      <w:pPr>
        <w:shd w:val="clear" w:color="auto" w:fill="FFFFFF"/>
        <w:spacing w:before="300" w:after="0" w:line="240" w:lineRule="auto"/>
        <w:jc w:val="both"/>
        <w:rPr>
          <w:rFonts w:ascii="Calibri" w:eastAsia="Times New Roman" w:hAnsi="Calibri" w:cs="Calibri"/>
          <w:color w:val="444444"/>
          <w:sz w:val="20"/>
          <w:szCs w:val="20"/>
        </w:rPr>
      </w:pPr>
      <w:r w:rsidRPr="00DF1B05">
        <w:rPr>
          <w:rFonts w:ascii="Calibri" w:eastAsia="Times New Roman" w:hAnsi="Calibri" w:cs="Calibri"/>
          <w:b/>
          <w:bCs/>
          <w:color w:val="444444"/>
          <w:sz w:val="20"/>
          <w:szCs w:val="20"/>
        </w:rPr>
        <w:t>Acerca de TINC</w:t>
      </w:r>
    </w:p>
    <w:p w14:paraId="12427DF6" w14:textId="77777777" w:rsidR="008B1EE8" w:rsidRPr="00DF1B05" w:rsidRDefault="008B1EE8" w:rsidP="008B1EE8">
      <w:pPr>
        <w:shd w:val="clear" w:color="auto" w:fill="FFFFFF"/>
        <w:spacing w:before="300" w:after="0" w:line="240" w:lineRule="auto"/>
        <w:jc w:val="both"/>
        <w:rPr>
          <w:rFonts w:ascii="Calibri" w:eastAsia="Times New Roman" w:hAnsi="Calibri" w:cs="Calibri"/>
          <w:color w:val="444444"/>
          <w:sz w:val="20"/>
          <w:szCs w:val="20"/>
        </w:rPr>
      </w:pPr>
      <w:hyperlink r:id="rId19" w:history="1">
        <w:r w:rsidRPr="00DF1B05">
          <w:rPr>
            <w:rFonts w:ascii="Calibri" w:eastAsia="Times New Roman" w:hAnsi="Calibri" w:cs="Calibri"/>
            <w:color w:val="EE8522"/>
            <w:sz w:val="20"/>
            <w:szCs w:val="20"/>
            <w:u w:val="single"/>
          </w:rPr>
          <w:t>TINC</w:t>
        </w:r>
      </w:hyperlink>
      <w:r w:rsidRPr="00DF1B05">
        <w:rPr>
          <w:rFonts w:ascii="Calibri" w:eastAsia="Times New Roman" w:hAnsi="Calibri" w:cs="Calibri"/>
          <w:color w:val="444444"/>
          <w:sz w:val="20"/>
          <w:szCs w:val="20"/>
        </w:rPr>
        <w:t> es una empresa de desarrollo de software fundada por Profesionales en Ingeniería Biomédica // Clínica y Software enfocada exclusivamente en soluciones CMMS para el mercado Latinoamericano de la salud. Con plataformas para hospitales, compañías y fabricantes de tecnología médica, TINC ayuda a más de 600 organizaciones con la transformación digital de sus procesos relacionados a la gestión y evaluación de activos hospitalarios.</w:t>
      </w:r>
    </w:p>
    <w:p w14:paraId="1BE70CCD" w14:textId="77777777" w:rsidR="008B1EE8" w:rsidRPr="00DF1B05" w:rsidRDefault="008B1EE8" w:rsidP="008B1EE8">
      <w:pPr>
        <w:jc w:val="both"/>
        <w:rPr>
          <w:rFonts w:ascii="Calibri" w:hAnsi="Calibri" w:cs="Calibri"/>
          <w:sz w:val="20"/>
          <w:szCs w:val="20"/>
        </w:rPr>
      </w:pPr>
    </w:p>
    <w:p w14:paraId="23EF0FF2" w14:textId="0AA3D050" w:rsidR="008F69C4" w:rsidRPr="008B1EE8" w:rsidRDefault="008F69C4" w:rsidP="008B1EE8"/>
    <w:sectPr w:rsidR="008F69C4" w:rsidRPr="008B1EE8" w:rsidSect="00AF2915">
      <w:headerReference w:type="default" r:id="rId20"/>
      <w:footerReference w:type="default" r:id="rId21"/>
      <w:pgSz w:w="12240" w:h="15840"/>
      <w:pgMar w:top="2236" w:right="1701" w:bottom="120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CC30" w14:textId="77777777" w:rsidR="006E49F2" w:rsidRDefault="006E49F2" w:rsidP="00701588">
      <w:pPr>
        <w:spacing w:after="0" w:line="240" w:lineRule="auto"/>
      </w:pPr>
      <w:r>
        <w:separator/>
      </w:r>
    </w:p>
  </w:endnote>
  <w:endnote w:type="continuationSeparator" w:id="0">
    <w:p w14:paraId="4EC4CF14" w14:textId="77777777" w:rsidR="006E49F2" w:rsidRDefault="006E49F2" w:rsidP="0070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2029" w14:textId="754ADC3C" w:rsidR="00B7721B" w:rsidRPr="00701588" w:rsidRDefault="00B7721B">
    <w:pPr>
      <w:pStyle w:val="Footer"/>
      <w:rPr>
        <w:lang w:val="es-ES_tradnl"/>
      </w:rPr>
    </w:pPr>
    <w:r>
      <w:rPr>
        <w:noProof/>
      </w:rPr>
      <mc:AlternateContent>
        <mc:Choice Requires="wps">
          <w:drawing>
            <wp:anchor distT="0" distB="0" distL="114300" distR="114300" simplePos="0" relativeHeight="251659264" behindDoc="0" locked="0" layoutInCell="1" allowOverlap="1" wp14:anchorId="1244D7AB" wp14:editId="08C63B7C">
              <wp:simplePos x="0" y="0"/>
              <wp:positionH relativeFrom="column">
                <wp:posOffset>2857500</wp:posOffset>
              </wp:positionH>
              <wp:positionV relativeFrom="paragraph">
                <wp:posOffset>105410</wp:posOffset>
              </wp:positionV>
              <wp:extent cx="285750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59CB86" w14:textId="102A3397" w:rsidR="00B7721B" w:rsidRDefault="00B7721B" w:rsidP="00005C94">
                          <w:pPr>
                            <w:spacing w:after="0" w:line="240" w:lineRule="auto"/>
                            <w:jc w:val="right"/>
                            <w:rPr>
                              <w:lang w:val="es-ES_tradnl"/>
                            </w:rPr>
                          </w:pPr>
                          <w:r>
                            <w:rPr>
                              <w:lang w:val="es-ES_tradnl"/>
                            </w:rPr>
                            <w:t>t. 55 5509 8406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44D7AB" id="_x0000_t202" coordsize="21600,21600" o:spt="202" path="m,l,21600r21600,l21600,xe">
              <v:stroke joinstyle="miter"/>
              <v:path gradientshapeok="t" o:connecttype="rect"/>
            </v:shapetype>
            <v:shape id="Text Box 3" o:spid="_x0000_s1026" type="#_x0000_t202" style="position:absolute;margin-left:225pt;margin-top:8.3pt;width:22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" filled="f" stroked="f">
              <v:textbox>
                <w:txbxContent>
                  <w:p w14:paraId="6F59CB86" w14:textId="102A3397" w:rsidR="00B7721B" w:rsidRDefault="00B7721B" w:rsidP="00005C94">
                    <w:pPr>
                      <w:spacing w:after="0" w:line="240" w:lineRule="auto"/>
                      <w:jc w:val="right"/>
                      <w:rPr>
                        <w:lang w:val="es-ES_tradnl"/>
                      </w:rPr>
                    </w:pPr>
                    <w:r>
                      <w:rPr>
                        <w:lang w:val="es-ES_tradnl"/>
                      </w:rPr>
                      <w:t>t. 55 5509 8406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0959" w14:textId="77777777" w:rsidR="006E49F2" w:rsidRDefault="006E49F2" w:rsidP="00701588">
      <w:pPr>
        <w:spacing w:after="0" w:line="240" w:lineRule="auto"/>
      </w:pPr>
      <w:r>
        <w:separator/>
      </w:r>
    </w:p>
  </w:footnote>
  <w:footnote w:type="continuationSeparator" w:id="0">
    <w:p w14:paraId="53C8E235" w14:textId="77777777" w:rsidR="006E49F2" w:rsidRDefault="006E49F2" w:rsidP="00701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C45D" w14:textId="3D9AF36E" w:rsidR="00B7721B" w:rsidRDefault="00B7721B" w:rsidP="00701588">
    <w:pPr>
      <w:spacing w:after="0"/>
      <w:jc w:val="right"/>
      <w:rPr>
        <w:b/>
        <w:noProof/>
        <w:sz w:val="24"/>
      </w:rPr>
    </w:pPr>
    <w:r>
      <w:rPr>
        <w:b/>
        <w:noProof/>
        <w:sz w:val="24"/>
      </w:rPr>
      <w:drawing>
        <wp:anchor distT="0" distB="0" distL="114300" distR="114300" simplePos="0" relativeHeight="251658240" behindDoc="0" locked="0" layoutInCell="1" allowOverlap="1" wp14:anchorId="09313BBA" wp14:editId="395A9699">
          <wp:simplePos x="0" y="0"/>
          <wp:positionH relativeFrom="column">
            <wp:posOffset>-95410</wp:posOffset>
          </wp:positionH>
          <wp:positionV relativeFrom="paragraph">
            <wp:posOffset>-26670</wp:posOffset>
          </wp:positionV>
          <wp:extent cx="1929283" cy="1035536"/>
          <wp:effectExtent l="0" t="0" r="1270" b="6350"/>
          <wp:wrapNone/>
          <wp:docPr id="1" name="Picture 1" descr="cmh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283" cy="1035536"/>
                  </a:xfrm>
                  <a:prstGeom prst="rect">
                    <a:avLst/>
                  </a:prstGeom>
                </pic:spPr>
              </pic:pic>
            </a:graphicData>
          </a:graphic>
          <wp14:sizeRelH relativeFrom="page">
            <wp14:pctWidth>0</wp14:pctWidth>
          </wp14:sizeRelH>
          <wp14:sizeRelV relativeFrom="page">
            <wp14:pctHeight>0</wp14:pctHeight>
          </wp14:sizeRelV>
        </wp:anchor>
      </w:drawing>
    </w:r>
  </w:p>
  <w:p w14:paraId="1B2939E1" w14:textId="77777777" w:rsidR="008B1EE8" w:rsidRDefault="008B1EE8" w:rsidP="008B1EE8">
    <w:pPr>
      <w:spacing w:after="0"/>
      <w:jc w:val="right"/>
      <w:rPr>
        <w:b/>
        <w:sz w:val="36"/>
        <w:szCs w:val="40"/>
      </w:rPr>
    </w:pPr>
  </w:p>
  <w:p w14:paraId="7B76F287" w14:textId="3401C6F5" w:rsidR="00B7721B" w:rsidRPr="008B1EE8" w:rsidRDefault="008B1EE8" w:rsidP="008B1EE8">
    <w:pPr>
      <w:spacing w:after="0"/>
      <w:jc w:val="right"/>
      <w:rPr>
        <w:b/>
        <w:sz w:val="36"/>
        <w:szCs w:val="40"/>
      </w:rPr>
    </w:pPr>
    <w:r w:rsidRPr="008B1EE8">
      <w:rPr>
        <w:b/>
        <w:sz w:val="36"/>
        <w:szCs w:val="40"/>
      </w:rPr>
      <w:t>Boletín de Prensa</w:t>
    </w:r>
  </w:p>
  <w:p w14:paraId="341B3215" w14:textId="540D8681" w:rsidR="00B7721B" w:rsidRDefault="008B1EE8" w:rsidP="00701588">
    <w:pPr>
      <w:pStyle w:val="Header"/>
      <w:jc w:val="right"/>
    </w:pPr>
    <w:r>
      <w:rPr>
        <w:noProof/>
      </w:rPr>
      <mc:AlternateContent>
        <mc:Choice Requires="wps">
          <w:drawing>
            <wp:anchor distT="0" distB="0" distL="114300" distR="114300" simplePos="0" relativeHeight="251660288" behindDoc="0" locked="0" layoutInCell="1" allowOverlap="1" wp14:anchorId="2E889FE8" wp14:editId="25EDF668">
              <wp:simplePos x="0" y="0"/>
              <wp:positionH relativeFrom="column">
                <wp:posOffset>5086</wp:posOffset>
              </wp:positionH>
              <wp:positionV relativeFrom="paragraph">
                <wp:posOffset>151521</wp:posOffset>
              </wp:positionV>
              <wp:extent cx="5637125" cy="0"/>
              <wp:effectExtent l="0" t="12700" r="14605" b="12700"/>
              <wp:wrapNone/>
              <wp:docPr id="4" name="Straight Connector 4"/>
              <wp:cNvGraphicFramePr/>
              <a:graphic xmlns:a="http://schemas.openxmlformats.org/drawingml/2006/main">
                <a:graphicData uri="http://schemas.microsoft.com/office/word/2010/wordprocessingShape">
                  <wps:wsp>
                    <wps:cNvCnPr/>
                    <wps:spPr>
                      <a:xfrm>
                        <a:off x="0" y="0"/>
                        <a:ext cx="5637125"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0B18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11.95pt" to="444.2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" strokecolor="#066684 [240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9FF"/>
    <w:multiLevelType w:val="hybridMultilevel"/>
    <w:tmpl w:val="4E020B9E"/>
    <w:lvl w:ilvl="0" w:tplc="FEB064D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250721"/>
    <w:multiLevelType w:val="hybridMultilevel"/>
    <w:tmpl w:val="273A561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32F5286B"/>
    <w:multiLevelType w:val="hybridMultilevel"/>
    <w:tmpl w:val="B8E822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B433DC"/>
    <w:multiLevelType w:val="hybridMultilevel"/>
    <w:tmpl w:val="87D2F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4E02E0"/>
    <w:multiLevelType w:val="multilevel"/>
    <w:tmpl w:val="077A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651151"/>
    <w:multiLevelType w:val="hybridMultilevel"/>
    <w:tmpl w:val="17929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906559"/>
    <w:multiLevelType w:val="hybridMultilevel"/>
    <w:tmpl w:val="30FA2D46"/>
    <w:lvl w:ilvl="0" w:tplc="7158DA1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B87090"/>
    <w:multiLevelType w:val="hybridMultilevel"/>
    <w:tmpl w:val="22BCE044"/>
    <w:lvl w:ilvl="0" w:tplc="6C022B0E">
      <w:start w:val="1"/>
      <w:numFmt w:val="decimal"/>
      <w:lvlText w:val="%1."/>
      <w:lvlJc w:val="left"/>
      <w:pPr>
        <w:ind w:left="1260" w:hanging="9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604F41"/>
    <w:multiLevelType w:val="hybridMultilevel"/>
    <w:tmpl w:val="EB3CDC72"/>
    <w:lvl w:ilvl="0" w:tplc="01521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24E5D"/>
    <w:multiLevelType w:val="hybridMultilevel"/>
    <w:tmpl w:val="207CA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1D7B09"/>
    <w:multiLevelType w:val="hybridMultilevel"/>
    <w:tmpl w:val="A17A2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06662262">
    <w:abstractNumId w:val="9"/>
  </w:num>
  <w:num w:numId="2" w16cid:durableId="1363702785">
    <w:abstractNumId w:val="0"/>
  </w:num>
  <w:num w:numId="3" w16cid:durableId="1055472415">
    <w:abstractNumId w:val="1"/>
  </w:num>
  <w:num w:numId="4" w16cid:durableId="2053456338">
    <w:abstractNumId w:val="3"/>
  </w:num>
  <w:num w:numId="5" w16cid:durableId="1831093194">
    <w:abstractNumId w:val="6"/>
  </w:num>
  <w:num w:numId="6" w16cid:durableId="1970697899">
    <w:abstractNumId w:val="2"/>
  </w:num>
  <w:num w:numId="7" w16cid:durableId="643581371">
    <w:abstractNumId w:val="7"/>
  </w:num>
  <w:num w:numId="8" w16cid:durableId="821772067">
    <w:abstractNumId w:val="5"/>
  </w:num>
  <w:num w:numId="9" w16cid:durableId="1348215945">
    <w:abstractNumId w:val="10"/>
  </w:num>
  <w:num w:numId="10" w16cid:durableId="860901472">
    <w:abstractNumId w:val="8"/>
  </w:num>
  <w:num w:numId="11" w16cid:durableId="395855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AFC"/>
    <w:rsid w:val="00005C94"/>
    <w:rsid w:val="00007DE6"/>
    <w:rsid w:val="00012A7F"/>
    <w:rsid w:val="000217DA"/>
    <w:rsid w:val="00036A42"/>
    <w:rsid w:val="00052809"/>
    <w:rsid w:val="0005790E"/>
    <w:rsid w:val="0007681E"/>
    <w:rsid w:val="00084EAB"/>
    <w:rsid w:val="00085E45"/>
    <w:rsid w:val="00087E21"/>
    <w:rsid w:val="00091542"/>
    <w:rsid w:val="000C5657"/>
    <w:rsid w:val="000D6054"/>
    <w:rsid w:val="000E1FBB"/>
    <w:rsid w:val="000E7A7B"/>
    <w:rsid w:val="000F5C16"/>
    <w:rsid w:val="0010251D"/>
    <w:rsid w:val="00110AF5"/>
    <w:rsid w:val="0011171A"/>
    <w:rsid w:val="00136363"/>
    <w:rsid w:val="0014537C"/>
    <w:rsid w:val="00160CD5"/>
    <w:rsid w:val="00171B10"/>
    <w:rsid w:val="0017506E"/>
    <w:rsid w:val="001757AF"/>
    <w:rsid w:val="00180F41"/>
    <w:rsid w:val="001815AA"/>
    <w:rsid w:val="001858A2"/>
    <w:rsid w:val="001919AB"/>
    <w:rsid w:val="001A09CB"/>
    <w:rsid w:val="001A18AE"/>
    <w:rsid w:val="001A3C2B"/>
    <w:rsid w:val="001B03AB"/>
    <w:rsid w:val="001B436B"/>
    <w:rsid w:val="001B7D2E"/>
    <w:rsid w:val="001C233A"/>
    <w:rsid w:val="001C2C64"/>
    <w:rsid w:val="001C6215"/>
    <w:rsid w:val="001D1678"/>
    <w:rsid w:val="001D6BB3"/>
    <w:rsid w:val="001E72F0"/>
    <w:rsid w:val="001F41AE"/>
    <w:rsid w:val="001F75E7"/>
    <w:rsid w:val="00201569"/>
    <w:rsid w:val="00212BB4"/>
    <w:rsid w:val="00216E1B"/>
    <w:rsid w:val="00241AE9"/>
    <w:rsid w:val="00250CC3"/>
    <w:rsid w:val="00251F7F"/>
    <w:rsid w:val="0025792B"/>
    <w:rsid w:val="00257A34"/>
    <w:rsid w:val="0026097E"/>
    <w:rsid w:val="002662A5"/>
    <w:rsid w:val="00273415"/>
    <w:rsid w:val="00277AC1"/>
    <w:rsid w:val="00280125"/>
    <w:rsid w:val="002A01F9"/>
    <w:rsid w:val="002A4651"/>
    <w:rsid w:val="002B0B6F"/>
    <w:rsid w:val="002D37BD"/>
    <w:rsid w:val="002D714F"/>
    <w:rsid w:val="002E1D60"/>
    <w:rsid w:val="002E2C21"/>
    <w:rsid w:val="00313BCC"/>
    <w:rsid w:val="00315211"/>
    <w:rsid w:val="00317B99"/>
    <w:rsid w:val="003254E9"/>
    <w:rsid w:val="0034046A"/>
    <w:rsid w:val="003422B7"/>
    <w:rsid w:val="003458A6"/>
    <w:rsid w:val="00345F3B"/>
    <w:rsid w:val="00372CF0"/>
    <w:rsid w:val="00377092"/>
    <w:rsid w:val="0038685F"/>
    <w:rsid w:val="003874BB"/>
    <w:rsid w:val="00392E8B"/>
    <w:rsid w:val="003A2CEC"/>
    <w:rsid w:val="003B03C5"/>
    <w:rsid w:val="003B36AC"/>
    <w:rsid w:val="003B4112"/>
    <w:rsid w:val="003C4871"/>
    <w:rsid w:val="003E453C"/>
    <w:rsid w:val="004105A3"/>
    <w:rsid w:val="00415DCF"/>
    <w:rsid w:val="0041719E"/>
    <w:rsid w:val="00445FF0"/>
    <w:rsid w:val="0045436A"/>
    <w:rsid w:val="0047592F"/>
    <w:rsid w:val="00482E5B"/>
    <w:rsid w:val="00486709"/>
    <w:rsid w:val="0049693C"/>
    <w:rsid w:val="004B18B4"/>
    <w:rsid w:val="004B1E43"/>
    <w:rsid w:val="004C2A4E"/>
    <w:rsid w:val="004E16E9"/>
    <w:rsid w:val="004E5CA7"/>
    <w:rsid w:val="00504FD9"/>
    <w:rsid w:val="00506993"/>
    <w:rsid w:val="0053513B"/>
    <w:rsid w:val="00556F83"/>
    <w:rsid w:val="005603A6"/>
    <w:rsid w:val="00563216"/>
    <w:rsid w:val="005A0435"/>
    <w:rsid w:val="005B5E9B"/>
    <w:rsid w:val="005C2660"/>
    <w:rsid w:val="005D4165"/>
    <w:rsid w:val="005D4C80"/>
    <w:rsid w:val="005E1888"/>
    <w:rsid w:val="0060150A"/>
    <w:rsid w:val="0061255D"/>
    <w:rsid w:val="00644978"/>
    <w:rsid w:val="00651056"/>
    <w:rsid w:val="00656AE0"/>
    <w:rsid w:val="006606C2"/>
    <w:rsid w:val="00662A39"/>
    <w:rsid w:val="00664C91"/>
    <w:rsid w:val="00666369"/>
    <w:rsid w:val="00673074"/>
    <w:rsid w:val="00675E29"/>
    <w:rsid w:val="0068083B"/>
    <w:rsid w:val="00696A90"/>
    <w:rsid w:val="0069725D"/>
    <w:rsid w:val="006A0531"/>
    <w:rsid w:val="006A57DE"/>
    <w:rsid w:val="006B7461"/>
    <w:rsid w:val="006E083A"/>
    <w:rsid w:val="006E1D9A"/>
    <w:rsid w:val="006E49F2"/>
    <w:rsid w:val="006F44FD"/>
    <w:rsid w:val="00701588"/>
    <w:rsid w:val="007104ED"/>
    <w:rsid w:val="00720BC0"/>
    <w:rsid w:val="00736AFC"/>
    <w:rsid w:val="007378EA"/>
    <w:rsid w:val="00746236"/>
    <w:rsid w:val="0075465E"/>
    <w:rsid w:val="00761A92"/>
    <w:rsid w:val="00795CE7"/>
    <w:rsid w:val="007A68E6"/>
    <w:rsid w:val="007C0228"/>
    <w:rsid w:val="007C4ACF"/>
    <w:rsid w:val="007E24D1"/>
    <w:rsid w:val="007E748D"/>
    <w:rsid w:val="007E7A30"/>
    <w:rsid w:val="007F0BAF"/>
    <w:rsid w:val="007F2C3E"/>
    <w:rsid w:val="00816C1F"/>
    <w:rsid w:val="00820CFD"/>
    <w:rsid w:val="00826B1F"/>
    <w:rsid w:val="00826E30"/>
    <w:rsid w:val="00833742"/>
    <w:rsid w:val="00857B6D"/>
    <w:rsid w:val="0087070A"/>
    <w:rsid w:val="008775C4"/>
    <w:rsid w:val="00881E65"/>
    <w:rsid w:val="00883CFC"/>
    <w:rsid w:val="008869D0"/>
    <w:rsid w:val="00895DFE"/>
    <w:rsid w:val="008A12C9"/>
    <w:rsid w:val="008A4879"/>
    <w:rsid w:val="008A6C12"/>
    <w:rsid w:val="008B04B7"/>
    <w:rsid w:val="008B1EE8"/>
    <w:rsid w:val="008B5CD3"/>
    <w:rsid w:val="008C2EA0"/>
    <w:rsid w:val="008D2255"/>
    <w:rsid w:val="008D5317"/>
    <w:rsid w:val="008E23B5"/>
    <w:rsid w:val="008E5192"/>
    <w:rsid w:val="008F18D6"/>
    <w:rsid w:val="008F69C4"/>
    <w:rsid w:val="00916A5B"/>
    <w:rsid w:val="00916A61"/>
    <w:rsid w:val="00922708"/>
    <w:rsid w:val="00930A26"/>
    <w:rsid w:val="00933529"/>
    <w:rsid w:val="00934DCD"/>
    <w:rsid w:val="00960006"/>
    <w:rsid w:val="0096417C"/>
    <w:rsid w:val="0098686B"/>
    <w:rsid w:val="009C23BC"/>
    <w:rsid w:val="009C2FEF"/>
    <w:rsid w:val="009E24F7"/>
    <w:rsid w:val="009F0032"/>
    <w:rsid w:val="00A0160D"/>
    <w:rsid w:val="00A13C77"/>
    <w:rsid w:val="00A156AC"/>
    <w:rsid w:val="00A27DB2"/>
    <w:rsid w:val="00A3002A"/>
    <w:rsid w:val="00A41498"/>
    <w:rsid w:val="00A4292F"/>
    <w:rsid w:val="00A45621"/>
    <w:rsid w:val="00A4674B"/>
    <w:rsid w:val="00A46884"/>
    <w:rsid w:val="00A54CCC"/>
    <w:rsid w:val="00A567DB"/>
    <w:rsid w:val="00A644DE"/>
    <w:rsid w:val="00A661AF"/>
    <w:rsid w:val="00A82787"/>
    <w:rsid w:val="00A84D64"/>
    <w:rsid w:val="00AA151C"/>
    <w:rsid w:val="00AB5458"/>
    <w:rsid w:val="00AC14E1"/>
    <w:rsid w:val="00AC1582"/>
    <w:rsid w:val="00AC71F5"/>
    <w:rsid w:val="00AD7AF4"/>
    <w:rsid w:val="00AE245F"/>
    <w:rsid w:val="00AE6F18"/>
    <w:rsid w:val="00AF24EB"/>
    <w:rsid w:val="00AF2915"/>
    <w:rsid w:val="00B046EE"/>
    <w:rsid w:val="00B17E2C"/>
    <w:rsid w:val="00B17FA0"/>
    <w:rsid w:val="00B232AD"/>
    <w:rsid w:val="00B27335"/>
    <w:rsid w:val="00B340F3"/>
    <w:rsid w:val="00B34312"/>
    <w:rsid w:val="00B52F91"/>
    <w:rsid w:val="00B7721B"/>
    <w:rsid w:val="00B81AE8"/>
    <w:rsid w:val="00B81E86"/>
    <w:rsid w:val="00B82C65"/>
    <w:rsid w:val="00B91520"/>
    <w:rsid w:val="00B97926"/>
    <w:rsid w:val="00BA660A"/>
    <w:rsid w:val="00BB7544"/>
    <w:rsid w:val="00BC1772"/>
    <w:rsid w:val="00BE463D"/>
    <w:rsid w:val="00BF0412"/>
    <w:rsid w:val="00BF14C5"/>
    <w:rsid w:val="00C15A89"/>
    <w:rsid w:val="00C32174"/>
    <w:rsid w:val="00C334A9"/>
    <w:rsid w:val="00C33E5B"/>
    <w:rsid w:val="00C366DA"/>
    <w:rsid w:val="00C507EA"/>
    <w:rsid w:val="00C56CA8"/>
    <w:rsid w:val="00C641C2"/>
    <w:rsid w:val="00CB5960"/>
    <w:rsid w:val="00CC67C7"/>
    <w:rsid w:val="00CC6F13"/>
    <w:rsid w:val="00CD22E8"/>
    <w:rsid w:val="00CD3CAB"/>
    <w:rsid w:val="00CE6EEA"/>
    <w:rsid w:val="00CF0BA1"/>
    <w:rsid w:val="00D04904"/>
    <w:rsid w:val="00D4198A"/>
    <w:rsid w:val="00D41E01"/>
    <w:rsid w:val="00D44964"/>
    <w:rsid w:val="00D449B6"/>
    <w:rsid w:val="00D50F0F"/>
    <w:rsid w:val="00D5739F"/>
    <w:rsid w:val="00D620ED"/>
    <w:rsid w:val="00D63DCA"/>
    <w:rsid w:val="00D66F6A"/>
    <w:rsid w:val="00D67640"/>
    <w:rsid w:val="00D748C0"/>
    <w:rsid w:val="00D75BD9"/>
    <w:rsid w:val="00D8647B"/>
    <w:rsid w:val="00D91555"/>
    <w:rsid w:val="00D94451"/>
    <w:rsid w:val="00D94BC9"/>
    <w:rsid w:val="00DB66B6"/>
    <w:rsid w:val="00DC3281"/>
    <w:rsid w:val="00DD66BD"/>
    <w:rsid w:val="00DD717C"/>
    <w:rsid w:val="00DF2CF9"/>
    <w:rsid w:val="00E16802"/>
    <w:rsid w:val="00E17EF3"/>
    <w:rsid w:val="00E231A3"/>
    <w:rsid w:val="00E35F53"/>
    <w:rsid w:val="00E40898"/>
    <w:rsid w:val="00E412B9"/>
    <w:rsid w:val="00E4312A"/>
    <w:rsid w:val="00E46C75"/>
    <w:rsid w:val="00E5317A"/>
    <w:rsid w:val="00E60DB3"/>
    <w:rsid w:val="00E6557E"/>
    <w:rsid w:val="00E75D17"/>
    <w:rsid w:val="00E81B81"/>
    <w:rsid w:val="00E823F5"/>
    <w:rsid w:val="00E83A58"/>
    <w:rsid w:val="00E96920"/>
    <w:rsid w:val="00EA0175"/>
    <w:rsid w:val="00EA02B8"/>
    <w:rsid w:val="00EA2061"/>
    <w:rsid w:val="00EB63CB"/>
    <w:rsid w:val="00EC0BBF"/>
    <w:rsid w:val="00ED1082"/>
    <w:rsid w:val="00ED79CF"/>
    <w:rsid w:val="00EE1F5C"/>
    <w:rsid w:val="00EF2082"/>
    <w:rsid w:val="00F00709"/>
    <w:rsid w:val="00F15C28"/>
    <w:rsid w:val="00F21BE4"/>
    <w:rsid w:val="00F469B6"/>
    <w:rsid w:val="00F85778"/>
    <w:rsid w:val="00F9027A"/>
    <w:rsid w:val="00F925B9"/>
    <w:rsid w:val="00F92E84"/>
    <w:rsid w:val="00FB0A26"/>
    <w:rsid w:val="00FB657E"/>
    <w:rsid w:val="00FD0F38"/>
    <w:rsid w:val="00FE6872"/>
    <w:rsid w:val="00FF4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3C202"/>
  <w15:docId w15:val="{831A2EE7-CFC3-49A6-A478-A672BC1D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4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F7"/>
    <w:pPr>
      <w:ind w:left="720"/>
      <w:contextualSpacing/>
    </w:pPr>
  </w:style>
  <w:style w:type="table" w:styleId="TableGrid">
    <w:name w:val="Table Grid"/>
    <w:basedOn w:val="TableNormal"/>
    <w:uiPriority w:val="59"/>
    <w:rsid w:val="00A456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B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112"/>
    <w:rPr>
      <w:rFonts w:ascii="Tahoma" w:hAnsi="Tahoma" w:cs="Tahoma"/>
      <w:sz w:val="16"/>
      <w:szCs w:val="16"/>
    </w:rPr>
  </w:style>
  <w:style w:type="paragraph" w:styleId="Header">
    <w:name w:val="header"/>
    <w:basedOn w:val="Normal"/>
    <w:link w:val="HeaderChar"/>
    <w:uiPriority w:val="99"/>
    <w:unhideWhenUsed/>
    <w:rsid w:val="00701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88"/>
  </w:style>
  <w:style w:type="paragraph" w:styleId="Footer">
    <w:name w:val="footer"/>
    <w:basedOn w:val="Normal"/>
    <w:link w:val="FooterChar"/>
    <w:uiPriority w:val="99"/>
    <w:unhideWhenUsed/>
    <w:rsid w:val="00701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88"/>
  </w:style>
  <w:style w:type="table" w:customStyle="1" w:styleId="Tabladecuadrcula4-nfasis61">
    <w:name w:val="Tabla de cuadrícula 4 - Énfasis 61"/>
    <w:basedOn w:val="TableNormal"/>
    <w:uiPriority w:val="49"/>
    <w:rsid w:val="004B1E43"/>
    <w:pPr>
      <w:spacing w:after="0" w:line="240" w:lineRule="auto"/>
    </w:pPr>
    <w:rPr>
      <w:rFonts w:eastAsiaTheme="minorHAnsi"/>
      <w:lang w:eastAsia="en-US"/>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Tabladecuadrcula4-nfasis51">
    <w:name w:val="Tabla de cuadrícula 4 - Énfasis 51"/>
    <w:basedOn w:val="TableNormal"/>
    <w:uiPriority w:val="49"/>
    <w:rsid w:val="004B1E43"/>
    <w:pPr>
      <w:spacing w:after="0" w:line="240" w:lineRule="auto"/>
    </w:pPr>
    <w:rPr>
      <w:rFonts w:eastAsiaTheme="minorHAnsi"/>
      <w:lang w:eastAsia="en-US"/>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character" w:styleId="CommentReference">
    <w:name w:val="annotation reference"/>
    <w:basedOn w:val="DefaultParagraphFont"/>
    <w:uiPriority w:val="99"/>
    <w:semiHidden/>
    <w:unhideWhenUsed/>
    <w:rsid w:val="00EC0BBF"/>
    <w:rPr>
      <w:sz w:val="16"/>
      <w:szCs w:val="16"/>
    </w:rPr>
  </w:style>
  <w:style w:type="paragraph" w:styleId="CommentText">
    <w:name w:val="annotation text"/>
    <w:basedOn w:val="Normal"/>
    <w:link w:val="CommentTextChar"/>
    <w:uiPriority w:val="99"/>
    <w:semiHidden/>
    <w:unhideWhenUsed/>
    <w:rsid w:val="00EC0BBF"/>
    <w:pPr>
      <w:spacing w:line="240" w:lineRule="auto"/>
    </w:pPr>
    <w:rPr>
      <w:sz w:val="20"/>
      <w:szCs w:val="20"/>
    </w:rPr>
  </w:style>
  <w:style w:type="character" w:customStyle="1" w:styleId="CommentTextChar">
    <w:name w:val="Comment Text Char"/>
    <w:basedOn w:val="DefaultParagraphFont"/>
    <w:link w:val="CommentText"/>
    <w:uiPriority w:val="99"/>
    <w:semiHidden/>
    <w:rsid w:val="00EC0BBF"/>
    <w:rPr>
      <w:sz w:val="20"/>
      <w:szCs w:val="20"/>
    </w:rPr>
  </w:style>
  <w:style w:type="paragraph" w:styleId="CommentSubject">
    <w:name w:val="annotation subject"/>
    <w:basedOn w:val="CommentText"/>
    <w:next w:val="CommentText"/>
    <w:link w:val="CommentSubjectChar"/>
    <w:uiPriority w:val="99"/>
    <w:semiHidden/>
    <w:unhideWhenUsed/>
    <w:rsid w:val="00EC0BBF"/>
    <w:rPr>
      <w:b/>
      <w:bCs/>
    </w:rPr>
  </w:style>
  <w:style w:type="character" w:customStyle="1" w:styleId="CommentSubjectChar">
    <w:name w:val="Comment Subject Char"/>
    <w:basedOn w:val="CommentTextChar"/>
    <w:link w:val="CommentSubject"/>
    <w:uiPriority w:val="99"/>
    <w:semiHidden/>
    <w:rsid w:val="00EC0BBF"/>
    <w:rPr>
      <w:b/>
      <w:bCs/>
      <w:sz w:val="20"/>
      <w:szCs w:val="20"/>
    </w:rPr>
  </w:style>
  <w:style w:type="paragraph" w:styleId="NormalWeb">
    <w:name w:val="Normal (Web)"/>
    <w:basedOn w:val="Normal"/>
    <w:uiPriority w:val="99"/>
    <w:semiHidden/>
    <w:unhideWhenUsed/>
    <w:rsid w:val="001B7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4046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641C2"/>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qFormat/>
    <w:rsid w:val="00345F3B"/>
    <w:pPr>
      <w:widowControl w:val="0"/>
      <w:autoSpaceDE w:val="0"/>
      <w:autoSpaceDN w:val="0"/>
      <w:spacing w:after="0" w:line="240" w:lineRule="auto"/>
    </w:pPr>
    <w:rPr>
      <w:rFonts w:ascii="Arial" w:eastAsia="Arial" w:hAnsi="Arial" w:cs="Arial"/>
      <w:sz w:val="18"/>
      <w:szCs w:val="18"/>
      <w:lang w:eastAsia="en-US"/>
    </w:rPr>
  </w:style>
  <w:style w:type="character" w:customStyle="1" w:styleId="BodyTextChar">
    <w:name w:val="Body Text Char"/>
    <w:basedOn w:val="DefaultParagraphFont"/>
    <w:link w:val="BodyText"/>
    <w:uiPriority w:val="1"/>
    <w:rsid w:val="00345F3B"/>
    <w:rPr>
      <w:rFonts w:ascii="Arial" w:eastAsia="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053">
      <w:bodyDiv w:val="1"/>
      <w:marLeft w:val="0"/>
      <w:marRight w:val="0"/>
      <w:marTop w:val="0"/>
      <w:marBottom w:val="0"/>
      <w:divBdr>
        <w:top w:val="none" w:sz="0" w:space="0" w:color="auto"/>
        <w:left w:val="none" w:sz="0" w:space="0" w:color="auto"/>
        <w:bottom w:val="none" w:sz="0" w:space="0" w:color="auto"/>
        <w:right w:val="none" w:sz="0" w:space="0" w:color="auto"/>
      </w:divBdr>
    </w:div>
    <w:div w:id="419060083">
      <w:bodyDiv w:val="1"/>
      <w:marLeft w:val="0"/>
      <w:marRight w:val="0"/>
      <w:marTop w:val="0"/>
      <w:marBottom w:val="0"/>
      <w:divBdr>
        <w:top w:val="none" w:sz="0" w:space="0" w:color="auto"/>
        <w:left w:val="none" w:sz="0" w:space="0" w:color="auto"/>
        <w:bottom w:val="none" w:sz="0" w:space="0" w:color="auto"/>
        <w:right w:val="none" w:sz="0" w:space="0" w:color="auto"/>
      </w:divBdr>
    </w:div>
    <w:div w:id="726805349">
      <w:bodyDiv w:val="1"/>
      <w:marLeft w:val="0"/>
      <w:marRight w:val="0"/>
      <w:marTop w:val="0"/>
      <w:marBottom w:val="0"/>
      <w:divBdr>
        <w:top w:val="none" w:sz="0" w:space="0" w:color="auto"/>
        <w:left w:val="none" w:sz="0" w:space="0" w:color="auto"/>
        <w:bottom w:val="none" w:sz="0" w:space="0" w:color="auto"/>
        <w:right w:val="none" w:sz="0" w:space="0" w:color="auto"/>
      </w:divBdr>
    </w:div>
    <w:div w:id="863403984">
      <w:bodyDiv w:val="1"/>
      <w:marLeft w:val="0"/>
      <w:marRight w:val="0"/>
      <w:marTop w:val="0"/>
      <w:marBottom w:val="0"/>
      <w:divBdr>
        <w:top w:val="none" w:sz="0" w:space="0" w:color="auto"/>
        <w:left w:val="none" w:sz="0" w:space="0" w:color="auto"/>
        <w:bottom w:val="none" w:sz="0" w:space="0" w:color="auto"/>
        <w:right w:val="none" w:sz="0" w:space="0" w:color="auto"/>
      </w:divBdr>
    </w:div>
    <w:div w:id="888147185">
      <w:bodyDiv w:val="1"/>
      <w:marLeft w:val="0"/>
      <w:marRight w:val="0"/>
      <w:marTop w:val="0"/>
      <w:marBottom w:val="0"/>
      <w:divBdr>
        <w:top w:val="none" w:sz="0" w:space="0" w:color="auto"/>
        <w:left w:val="none" w:sz="0" w:space="0" w:color="auto"/>
        <w:bottom w:val="none" w:sz="0" w:space="0" w:color="auto"/>
        <w:right w:val="none" w:sz="0" w:space="0" w:color="auto"/>
      </w:divBdr>
    </w:div>
    <w:div w:id="892732844">
      <w:bodyDiv w:val="1"/>
      <w:marLeft w:val="0"/>
      <w:marRight w:val="0"/>
      <w:marTop w:val="0"/>
      <w:marBottom w:val="0"/>
      <w:divBdr>
        <w:top w:val="none" w:sz="0" w:space="0" w:color="auto"/>
        <w:left w:val="none" w:sz="0" w:space="0" w:color="auto"/>
        <w:bottom w:val="none" w:sz="0" w:space="0" w:color="auto"/>
        <w:right w:val="none" w:sz="0" w:space="0" w:color="auto"/>
      </w:divBdr>
    </w:div>
    <w:div w:id="1090855228">
      <w:bodyDiv w:val="1"/>
      <w:marLeft w:val="0"/>
      <w:marRight w:val="0"/>
      <w:marTop w:val="0"/>
      <w:marBottom w:val="0"/>
      <w:divBdr>
        <w:top w:val="none" w:sz="0" w:space="0" w:color="auto"/>
        <w:left w:val="none" w:sz="0" w:space="0" w:color="auto"/>
        <w:bottom w:val="none" w:sz="0" w:space="0" w:color="auto"/>
        <w:right w:val="none" w:sz="0" w:space="0" w:color="auto"/>
      </w:divBdr>
    </w:div>
    <w:div w:id="1167014453">
      <w:bodyDiv w:val="1"/>
      <w:marLeft w:val="0"/>
      <w:marRight w:val="0"/>
      <w:marTop w:val="0"/>
      <w:marBottom w:val="0"/>
      <w:divBdr>
        <w:top w:val="none" w:sz="0" w:space="0" w:color="auto"/>
        <w:left w:val="none" w:sz="0" w:space="0" w:color="auto"/>
        <w:bottom w:val="none" w:sz="0" w:space="0" w:color="auto"/>
        <w:right w:val="none" w:sz="0" w:space="0" w:color="auto"/>
      </w:divBdr>
    </w:div>
    <w:div w:id="1237276641">
      <w:bodyDiv w:val="1"/>
      <w:marLeft w:val="0"/>
      <w:marRight w:val="0"/>
      <w:marTop w:val="0"/>
      <w:marBottom w:val="0"/>
      <w:divBdr>
        <w:top w:val="none" w:sz="0" w:space="0" w:color="auto"/>
        <w:left w:val="none" w:sz="0" w:space="0" w:color="auto"/>
        <w:bottom w:val="none" w:sz="0" w:space="0" w:color="auto"/>
        <w:right w:val="none" w:sz="0" w:space="0" w:color="auto"/>
      </w:divBdr>
    </w:div>
    <w:div w:id="1347562238">
      <w:bodyDiv w:val="1"/>
      <w:marLeft w:val="0"/>
      <w:marRight w:val="0"/>
      <w:marTop w:val="0"/>
      <w:marBottom w:val="0"/>
      <w:divBdr>
        <w:top w:val="none" w:sz="0" w:space="0" w:color="auto"/>
        <w:left w:val="none" w:sz="0" w:space="0" w:color="auto"/>
        <w:bottom w:val="none" w:sz="0" w:space="0" w:color="auto"/>
        <w:right w:val="none" w:sz="0" w:space="0" w:color="auto"/>
      </w:divBdr>
    </w:div>
    <w:div w:id="1461655302">
      <w:bodyDiv w:val="1"/>
      <w:marLeft w:val="0"/>
      <w:marRight w:val="0"/>
      <w:marTop w:val="0"/>
      <w:marBottom w:val="0"/>
      <w:divBdr>
        <w:top w:val="none" w:sz="0" w:space="0" w:color="auto"/>
        <w:left w:val="none" w:sz="0" w:space="0" w:color="auto"/>
        <w:bottom w:val="none" w:sz="0" w:space="0" w:color="auto"/>
        <w:right w:val="none" w:sz="0" w:space="0" w:color="auto"/>
      </w:divBdr>
    </w:div>
    <w:div w:id="1531335525">
      <w:bodyDiv w:val="1"/>
      <w:marLeft w:val="0"/>
      <w:marRight w:val="0"/>
      <w:marTop w:val="0"/>
      <w:marBottom w:val="0"/>
      <w:divBdr>
        <w:top w:val="none" w:sz="0" w:space="0" w:color="auto"/>
        <w:left w:val="none" w:sz="0" w:space="0" w:color="auto"/>
        <w:bottom w:val="none" w:sz="0" w:space="0" w:color="auto"/>
        <w:right w:val="none" w:sz="0" w:space="0" w:color="auto"/>
      </w:divBdr>
    </w:div>
    <w:div w:id="1674139678">
      <w:bodyDiv w:val="1"/>
      <w:marLeft w:val="0"/>
      <w:marRight w:val="0"/>
      <w:marTop w:val="0"/>
      <w:marBottom w:val="0"/>
      <w:divBdr>
        <w:top w:val="none" w:sz="0" w:space="0" w:color="auto"/>
        <w:left w:val="none" w:sz="0" w:space="0" w:color="auto"/>
        <w:bottom w:val="none" w:sz="0" w:space="0" w:color="auto"/>
        <w:right w:val="none" w:sz="0" w:space="0" w:color="auto"/>
      </w:divBdr>
    </w:div>
    <w:div w:id="1750954547">
      <w:bodyDiv w:val="1"/>
      <w:marLeft w:val="0"/>
      <w:marRight w:val="0"/>
      <w:marTop w:val="0"/>
      <w:marBottom w:val="0"/>
      <w:divBdr>
        <w:top w:val="none" w:sz="0" w:space="0" w:color="auto"/>
        <w:left w:val="none" w:sz="0" w:space="0" w:color="auto"/>
        <w:bottom w:val="none" w:sz="0" w:space="0" w:color="auto"/>
        <w:right w:val="none" w:sz="0" w:space="0" w:color="auto"/>
      </w:divBdr>
    </w:div>
    <w:div w:id="208124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mi.org/" TargetMode="External"/><Relationship Id="rId18" Type="http://schemas.openxmlformats.org/officeDocument/2006/relationships/hyperlink" Target="http://www.aam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ome.cmmstinc.com/" TargetMode="External"/><Relationship Id="rId17" Type="http://schemas.openxmlformats.org/officeDocument/2006/relationships/hyperlink" Target="https://cmhac.com/" TargetMode="External"/><Relationship Id="rId2" Type="http://schemas.openxmlformats.org/officeDocument/2006/relationships/numbering" Target="numbering.xml"/><Relationship Id="rId16" Type="http://schemas.openxmlformats.org/officeDocument/2006/relationships/hyperlink" Target="https://www.linkedin.com/in/daniellemcge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hac.com/" TargetMode="External"/><Relationship Id="rId5" Type="http://schemas.openxmlformats.org/officeDocument/2006/relationships/webSettings" Target="webSettings.xml"/><Relationship Id="rId15" Type="http://schemas.openxmlformats.org/officeDocument/2006/relationships/hyperlink" Target="https://www.linkedin.com/in/bmele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home.cmmstin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nkedin.com/in/javier-potes-0862412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3CBC-3166-4D29-B0DF-CDA2C765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829</Words>
  <Characters>4728</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David Potes</cp:lastModifiedBy>
  <cp:revision>3</cp:revision>
  <cp:lastPrinted>2022-11-24T23:55:00Z</cp:lastPrinted>
  <dcterms:created xsi:type="dcterms:W3CDTF">2022-12-08T19:03:00Z</dcterms:created>
  <dcterms:modified xsi:type="dcterms:W3CDTF">2022-12-08T19:07:00Z</dcterms:modified>
</cp:coreProperties>
</file>